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after="0" w:afterAutospacing="0" w:line="596" w:lineRule="exact"/>
        <w:jc w:val="center"/>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秀山土家族苗族自治县海洋乡卫生院</w:t>
      </w:r>
    </w:p>
    <w:p>
      <w:pPr>
        <w:pStyle w:val="9"/>
        <w:spacing w:before="0" w:beforeAutospacing="0" w:after="0" w:afterAutospacing="0" w:line="596" w:lineRule="exact"/>
        <w:ind w:firstLine="2200" w:firstLineChars="500"/>
        <w:jc w:val="both"/>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2024年度决算公开说明</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一、单位基本情况</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sz w:val="32"/>
          <w:szCs w:val="32"/>
          <w:highlight w:val="none"/>
        </w:rPr>
      </w:pPr>
      <w:r>
        <w:rPr>
          <w:rStyle w:val="11"/>
          <w:rFonts w:hint="default" w:ascii="Times New Roman" w:hAnsi="Times New Roman" w:eastAsia="方正楷体_GBK" w:cs="Times New Roman"/>
          <w:b w:val="0"/>
          <w:bCs/>
          <w:sz w:val="32"/>
          <w:szCs w:val="32"/>
          <w:highlight w:val="none"/>
          <w:shd w:val="clear" w:color="auto" w:fill="FFFFFF"/>
        </w:rPr>
        <w:t>（一）职能职责</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rPr>
      </w:pPr>
      <w:r>
        <w:rPr>
          <w:rFonts w:hint="default" w:ascii="Times New Roman" w:hAnsi="Times New Roman" w:eastAsia="方正仿宋_GBK" w:cs="Times New Roman"/>
          <w:color w:val="000000" w:themeColor="text1"/>
          <w:sz w:val="32"/>
          <w:szCs w:val="32"/>
          <w:shd w:val="clear" w:color="auto"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rPr>
      </w:pPr>
      <w:r>
        <w:rPr>
          <w:rFonts w:hint="default" w:ascii="Times New Roman" w:hAnsi="Times New Roman" w:eastAsia="方正仿宋_GBK" w:cs="Times New Roman"/>
          <w:color w:val="000000" w:themeColor="text1"/>
          <w:sz w:val="32"/>
          <w:szCs w:val="32"/>
          <w:shd w:val="clear" w:color="auto" w:fill="FFFFFF"/>
        </w:rPr>
        <w:t>1.根据国家和本市规定收集、报送辖区内卫生健康信息，建立和管理居民健康档案，提出改进辖区公共卫生状况的建议；</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rPr>
      </w:pPr>
      <w:r>
        <w:rPr>
          <w:rFonts w:hint="default" w:ascii="Times New Roman" w:hAnsi="Times New Roman" w:eastAsia="方正仿宋_GBK" w:cs="Times New Roman"/>
          <w:color w:val="000000" w:themeColor="text1"/>
          <w:sz w:val="32"/>
          <w:szCs w:val="32"/>
          <w:shd w:val="clear" w:color="auto" w:fill="FFFFFF"/>
        </w:rPr>
        <w:t>2.开展健康教育，普及健康知识；</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rPr>
      </w:pPr>
      <w:r>
        <w:rPr>
          <w:rFonts w:hint="default" w:ascii="Times New Roman" w:hAnsi="Times New Roman" w:eastAsia="方正仿宋_GBK" w:cs="Times New Roman"/>
          <w:color w:val="000000" w:themeColor="text1"/>
          <w:sz w:val="32"/>
          <w:szCs w:val="32"/>
          <w:shd w:val="clear" w:color="auto" w:fill="FFFFFF"/>
        </w:rPr>
        <w:t>3.协助开展传染病以及地方病、寄生虫病的预防控制，配合开展爱国卫生工作；</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rPr>
      </w:pPr>
      <w:r>
        <w:rPr>
          <w:rFonts w:hint="default" w:ascii="Times New Roman" w:hAnsi="Times New Roman" w:eastAsia="方正仿宋_GBK" w:cs="Times New Roman"/>
          <w:color w:val="000000" w:themeColor="text1"/>
          <w:sz w:val="32"/>
          <w:szCs w:val="32"/>
          <w:shd w:val="clear" w:color="auto" w:fill="FFFFFF"/>
        </w:rPr>
        <w:t>4.做好高危人群、重点慢性病患者的筛查和病例管理；</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rPr>
      </w:pPr>
      <w:r>
        <w:rPr>
          <w:rFonts w:hint="default" w:ascii="Times New Roman" w:hAnsi="Times New Roman" w:eastAsia="方正仿宋_GBK" w:cs="Times New Roman"/>
          <w:color w:val="000000" w:themeColor="text1"/>
          <w:sz w:val="32"/>
          <w:szCs w:val="32"/>
          <w:shd w:val="clear" w:color="auto" w:fill="FFFFFF"/>
        </w:rPr>
        <w:t>5.提供心理健康指导服务，实施精神病社区管理；</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rPr>
      </w:pPr>
      <w:r>
        <w:rPr>
          <w:rFonts w:hint="default" w:ascii="Times New Roman" w:hAnsi="Times New Roman" w:eastAsia="方正仿宋_GBK" w:cs="Times New Roman"/>
          <w:color w:val="000000" w:themeColor="text1"/>
          <w:sz w:val="32"/>
          <w:szCs w:val="32"/>
          <w:shd w:val="clear" w:color="auto" w:fill="FFFFFF"/>
        </w:rPr>
        <w:t>6.为妇女、儿童、老年人、残疾人等重点人群提供保健和康复服务；</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rPr>
      </w:pPr>
      <w:r>
        <w:rPr>
          <w:rFonts w:hint="default" w:ascii="Times New Roman" w:hAnsi="Times New Roman" w:eastAsia="方正仿宋_GBK" w:cs="Times New Roman"/>
          <w:color w:val="000000" w:themeColor="text1"/>
          <w:sz w:val="32"/>
          <w:szCs w:val="32"/>
          <w:shd w:val="clear" w:color="auto" w:fill="FFFFFF"/>
        </w:rPr>
        <w:t>7.提供计划生育技术服务，协助处置辖区内突发公共卫生事件等；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22"/>
          <w:szCs w:val="22"/>
          <w:shd w:val="clear" w:color="auto" w:fill="FFFFFF"/>
          <w:lang w:val="en-US" w:eastAsia="zh-CN"/>
        </w:rPr>
      </w:pPr>
      <w:r>
        <w:rPr>
          <w:rFonts w:hint="default" w:ascii="Times New Roman" w:hAnsi="Times New Roman" w:eastAsia="方正仿宋_GBK" w:cs="Times New Roman"/>
          <w:color w:val="000000" w:themeColor="text1"/>
          <w:sz w:val="32"/>
          <w:szCs w:val="32"/>
          <w:shd w:val="clear" w:color="auto" w:fill="FFFFFF"/>
        </w:rPr>
        <w:t>8.按要求提供其他公共卫生服务。</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highlight w:val="none"/>
          <w:shd w:val="clear" w:color="auto" w:fill="FFFFFF"/>
        </w:rPr>
      </w:pP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sz w:val="32"/>
          <w:szCs w:val="32"/>
          <w:highlight w:val="none"/>
          <w:shd w:val="clear" w:color="auto" w:fill="FFFFFF"/>
        </w:rPr>
      </w:pPr>
      <w:r>
        <w:rPr>
          <w:rStyle w:val="11"/>
          <w:rFonts w:hint="default" w:ascii="Times New Roman" w:hAnsi="Times New Roman" w:eastAsia="方正楷体_GBK" w:cs="Times New Roman"/>
          <w:b w:val="0"/>
          <w:bCs/>
          <w:sz w:val="32"/>
          <w:szCs w:val="32"/>
          <w:highlight w:val="none"/>
          <w:shd w:val="clear" w:color="auto" w:fill="FFFFFF"/>
        </w:rPr>
        <w:t>（二）机构设置</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themeColor="text1"/>
          <w:sz w:val="32"/>
          <w:szCs w:val="32"/>
          <w:shd w:val="clear" w:color="auto" w:fill="FFFFFF"/>
          <w:lang w:val="en-US" w:eastAsia="zh-CN"/>
        </w:rPr>
      </w:pPr>
      <w:r>
        <w:rPr>
          <w:rFonts w:hint="default" w:ascii="Times New Roman" w:hAnsi="Times New Roman" w:eastAsia="方正仿宋_GBK" w:cs="Times New Roman"/>
          <w:color w:val="000000" w:themeColor="text1"/>
          <w:sz w:val="32"/>
          <w:szCs w:val="32"/>
          <w:shd w:val="clear" w:color="auto" w:fill="FFFFFF"/>
        </w:rPr>
        <w:t>本单位为秀山县卫生健康委员会二级预算单位，无下级预算单位。单位内设门诊综合科、综合住院部、中医理疗科、医技科、药房、收费室、办公室、财务科、医务科。本单位实有事业编制</w:t>
      </w:r>
      <w:r>
        <w:rPr>
          <w:rFonts w:hint="default" w:ascii="Times New Roman" w:hAnsi="Times New Roman" w:eastAsia="方正仿宋_GBK" w:cs="Times New Roman"/>
          <w:color w:val="000000" w:themeColor="text1"/>
          <w:sz w:val="32"/>
          <w:szCs w:val="32"/>
          <w:shd w:val="clear" w:color="auto" w:fill="FFFFFF"/>
          <w:lang w:val="en-US" w:eastAsia="zh-CN"/>
        </w:rPr>
        <w:t xml:space="preserve"> 8</w:t>
      </w:r>
      <w:r>
        <w:rPr>
          <w:rFonts w:hint="default" w:ascii="Times New Roman" w:hAnsi="Times New Roman" w:eastAsia="方正仿宋_GBK" w:cs="Times New Roman"/>
          <w:color w:val="000000" w:themeColor="text1"/>
          <w:sz w:val="32"/>
          <w:szCs w:val="32"/>
          <w:shd w:val="clear" w:color="auto" w:fill="FFFFFF"/>
        </w:rPr>
        <w:t>名，临聘人员</w:t>
      </w:r>
      <w:r>
        <w:rPr>
          <w:rFonts w:hint="default" w:ascii="Times New Roman" w:hAnsi="Times New Roman" w:eastAsia="方正仿宋_GBK" w:cs="Times New Roman"/>
          <w:color w:val="000000" w:themeColor="text1"/>
          <w:sz w:val="32"/>
          <w:szCs w:val="32"/>
          <w:shd w:val="clear" w:color="auto" w:fill="FFFFFF"/>
          <w:lang w:val="en-US" w:eastAsia="zh-CN"/>
        </w:rPr>
        <w:t xml:space="preserve"> 4</w:t>
      </w:r>
      <w:r>
        <w:rPr>
          <w:rFonts w:hint="default" w:ascii="Times New Roman" w:hAnsi="Times New Roman" w:eastAsia="方正仿宋_GBK" w:cs="Times New Roman"/>
          <w:color w:val="000000" w:themeColor="text1"/>
          <w:sz w:val="32"/>
          <w:szCs w:val="32"/>
          <w:shd w:val="clear" w:color="auto" w:fill="FFFFFF"/>
        </w:rPr>
        <w:t>人。</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二、单位决算收支情况说明</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（一）收入支出决算总体情况说明</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2024年度收、支总计均为205.99万元。收、支与2023年度相比，减少70.17万元，下降25.4%，主要原因是</w:t>
      </w:r>
      <w:r>
        <w:rPr>
          <w:rFonts w:hint="default" w:ascii="Times New Roman" w:hAnsi="Times New Roman" w:eastAsia="方正仿宋_GBK" w:cs="Times New Roman"/>
          <w:sz w:val="32"/>
          <w:szCs w:val="32"/>
          <w:shd w:val="clear" w:color="auto" w:fill="FFFFFF"/>
          <w:lang w:eastAsia="zh-CN"/>
        </w:rPr>
        <w:t>财政拨款、事业收入、其他收入减少，相对应支出减少。</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1.收入情况</w:t>
      </w:r>
      <w:r>
        <w:rPr>
          <w:rStyle w:val="11"/>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2024年度收入合计201.07万元，与2023年度相比，减少52.97万元，下降20.9%，主要原因是</w:t>
      </w:r>
      <w:r>
        <w:rPr>
          <w:rFonts w:hint="default" w:ascii="Times New Roman" w:hAnsi="Times New Roman" w:eastAsia="方正仿宋_GBK" w:cs="Times New Roman"/>
          <w:color w:val="000000" w:themeColor="text1"/>
          <w:sz w:val="32"/>
          <w:szCs w:val="32"/>
          <w:shd w:val="clear" w:color="auto" w:fill="FFFFFF"/>
          <w:lang w:eastAsia="zh-CN"/>
        </w:rPr>
        <w:t>财政拨款、事业收入、其他收入减少。</w:t>
      </w:r>
      <w:r>
        <w:rPr>
          <w:rFonts w:hint="default" w:ascii="Times New Roman" w:hAnsi="Times New Roman" w:eastAsia="方正仿宋_GBK" w:cs="Times New Roman"/>
          <w:sz w:val="32"/>
          <w:szCs w:val="32"/>
          <w:shd w:val="clear" w:color="auto" w:fill="FFFFFF"/>
        </w:rPr>
        <w:t>其中：财政拨款收入119.52万元，占59.4%；事业收入81.28万元，占40.4%；经营收入0.00万元，占0.0%；其他收入0.27万元，占0.1%。此外，使用非财政拨款结余（含专用结余）0.00万元，年初结转和结余4.92万元。</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highlight w:val="none"/>
          <w:shd w:val="clear" w:color="auto" w:fill="FFFFFF"/>
        </w:rPr>
        <w:t>2.</w:t>
      </w:r>
      <w:r>
        <w:rPr>
          <w:rStyle w:val="11"/>
          <w:rFonts w:hint="default" w:ascii="Times New Roman" w:hAnsi="Times New Roman" w:eastAsia="方正楷体_GBK" w:cs="Times New Roman"/>
          <w:b w:val="0"/>
          <w:bCs/>
          <w:sz w:val="32"/>
          <w:szCs w:val="32"/>
          <w:highlight w:val="none"/>
          <w:shd w:val="clear" w:color="auto" w:fill="FFFFFF"/>
        </w:rPr>
        <w:t>支出情况。</w:t>
      </w:r>
      <w:r>
        <w:rPr>
          <w:rFonts w:hint="default" w:ascii="Times New Roman" w:hAnsi="Times New Roman" w:eastAsia="方正仿宋_GBK" w:cs="Times New Roman"/>
          <w:sz w:val="32"/>
          <w:szCs w:val="32"/>
          <w:highlight w:val="none"/>
          <w:shd w:val="clear" w:color="auto" w:fill="FFFFFF"/>
        </w:rPr>
        <w:t>2</w:t>
      </w:r>
      <w:r>
        <w:rPr>
          <w:rFonts w:hint="default" w:ascii="Times New Roman" w:hAnsi="Times New Roman" w:eastAsia="方正仿宋_GBK" w:cs="Times New Roman"/>
          <w:sz w:val="32"/>
          <w:szCs w:val="32"/>
          <w:shd w:val="clear" w:color="auto" w:fill="FFFFFF"/>
        </w:rPr>
        <w:t>024年度支出合计205.99万元，与2023年度相比，减少65.26万元，下降24.1%，主要</w:t>
      </w:r>
      <w:r>
        <w:rPr>
          <w:rFonts w:hint="default" w:ascii="Times New Roman" w:hAnsi="Times New Roman" w:eastAsia="方正仿宋_GBK" w:cs="Times New Roman"/>
          <w:color w:val="000000" w:themeColor="text1"/>
          <w:sz w:val="32"/>
          <w:szCs w:val="32"/>
          <w:shd w:val="clear" w:color="auto" w:fill="FFFFFF"/>
        </w:rPr>
        <w:t>原因是</w:t>
      </w:r>
      <w:r>
        <w:rPr>
          <w:rFonts w:hint="default" w:ascii="Times New Roman" w:hAnsi="Times New Roman" w:eastAsia="方正仿宋_GBK" w:cs="Times New Roman"/>
          <w:color w:val="000000" w:themeColor="text1"/>
          <w:sz w:val="32"/>
          <w:szCs w:val="32"/>
          <w:shd w:val="clear" w:color="auto" w:fill="FFFFFF"/>
          <w:lang w:eastAsia="zh-CN"/>
        </w:rPr>
        <w:t>财政拨款、事业收入、其他收入减少，相对应支出减少。</w:t>
      </w:r>
      <w:r>
        <w:rPr>
          <w:rFonts w:hint="default" w:ascii="Times New Roman" w:hAnsi="Times New Roman" w:eastAsia="方正仿宋_GBK" w:cs="Times New Roman"/>
          <w:sz w:val="32"/>
          <w:szCs w:val="32"/>
          <w:shd w:val="clear" w:color="auto" w:fill="FFFFFF"/>
        </w:rPr>
        <w:t>其中：基本支出200.69万元，占97.4%；项目支出5.30万元，占2.6%；经营支出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万元，占0.0%。此外，结余分配0.00万元。</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rPr>
        <w:t>3.</w:t>
      </w:r>
      <w:r>
        <w:rPr>
          <w:rStyle w:val="11"/>
          <w:rFonts w:hint="default" w:ascii="Times New Roman" w:hAnsi="Times New Roman" w:eastAsia="方正楷体_GBK" w:cs="Times New Roman"/>
          <w:b w:val="0"/>
          <w:bCs/>
          <w:sz w:val="32"/>
          <w:szCs w:val="32"/>
          <w:highlight w:val="none"/>
          <w:shd w:val="clear" w:color="auto" w:fill="FFFFFF"/>
        </w:rPr>
        <w:t>结转结余情况。</w:t>
      </w:r>
      <w:r>
        <w:rPr>
          <w:rFonts w:hint="default" w:ascii="Times New Roman" w:hAnsi="Times New Roman" w:eastAsia="方正仿宋_GBK" w:cs="Times New Roman"/>
          <w:sz w:val="32"/>
          <w:szCs w:val="32"/>
          <w:shd w:val="clear" w:color="auto" w:fill="FFFFFF"/>
        </w:rPr>
        <w:t>2024年度年末结转和结余0.00万元，与2023年度相比，减少4.92万元，下降100.0%，主要原因</w:t>
      </w:r>
      <w:r>
        <w:rPr>
          <w:rFonts w:hint="default" w:ascii="Times New Roman" w:hAnsi="Times New Roman" w:eastAsia="方正仿宋_GBK" w:cs="Times New Roman"/>
          <w:color w:val="000000" w:themeColor="text1"/>
          <w:sz w:val="32"/>
          <w:szCs w:val="32"/>
          <w:shd w:val="clear" w:color="auto" w:fill="FFFFFF"/>
        </w:rPr>
        <w:t>是</w:t>
      </w:r>
      <w:r>
        <w:rPr>
          <w:rFonts w:hint="default" w:ascii="Times New Roman" w:hAnsi="Times New Roman" w:eastAsia="方正仿宋_GBK" w:cs="Times New Roman"/>
          <w:color w:val="000000" w:themeColor="text1"/>
          <w:sz w:val="32"/>
          <w:szCs w:val="32"/>
          <w:shd w:val="clear" w:color="auto" w:fill="FFFFFF"/>
          <w:lang w:val="en-US" w:eastAsia="zh-CN"/>
        </w:rPr>
        <w:t>2024年度收支平衡。</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bookmarkStart w:id="0" w:name="_GoBack"/>
      <w:r>
        <w:rPr>
          <w:rFonts w:hint="default" w:ascii="Times New Roman" w:hAnsi="Times New Roman" w:eastAsia="方正楷体_GBK" w:cs="Times New Roman"/>
          <w:b w:val="0"/>
          <w:bCs w:val="0"/>
          <w:sz w:val="32"/>
          <w:szCs w:val="32"/>
          <w:shd w:val="clear" w:color="auto" w:fill="FFFFFF"/>
        </w:rPr>
        <w:t>（二）财政拨款收入支出决算总体情况说明</w:t>
      </w:r>
    </w:p>
    <w:bookmarkEnd w:id="0"/>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rPr>
        <w:t>2024年度财政拨款收、支总计均为124.43万元。与2023年度相比，财政拨款收、支总计各减少20.91万元，下降14.4%。主要原因是</w:t>
      </w:r>
      <w:r>
        <w:rPr>
          <w:rFonts w:hint="default" w:ascii="Times New Roman" w:hAnsi="Times New Roman" w:eastAsia="方正仿宋_GBK" w:cs="Times New Roman"/>
          <w:color w:val="000000" w:themeColor="text1"/>
          <w:sz w:val="32"/>
          <w:szCs w:val="32"/>
          <w:shd w:val="clear" w:color="auto" w:fill="FFFFFF"/>
          <w:lang w:eastAsia="zh-CN"/>
        </w:rPr>
        <w:t>财政拨款减少。</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楷体_GBK" w:cs="Times New Roman"/>
          <w:b w:val="0"/>
          <w:bCs/>
          <w:sz w:val="32"/>
          <w:szCs w:val="32"/>
          <w:highlight w:val="none"/>
          <w:shd w:val="clear" w:color="auto" w:fill="FFFFFF"/>
        </w:rPr>
        <w:t>1.收入情况。</w:t>
      </w:r>
      <w:r>
        <w:rPr>
          <w:rFonts w:hint="default" w:ascii="Times New Roman" w:hAnsi="Times New Roman" w:eastAsia="方正仿宋_GBK" w:cs="Times New Roman"/>
          <w:sz w:val="32"/>
          <w:szCs w:val="32"/>
          <w:shd w:val="clear" w:color="auto" w:fill="FFFFFF"/>
        </w:rPr>
        <w:t>2024年度一般公共预算财政拨款收入119.52万元，与2023年度相比，减少25.82万元，下降17.8%。主要原因是</w:t>
      </w:r>
      <w:r>
        <w:rPr>
          <w:rFonts w:hint="default" w:ascii="Times New Roman" w:hAnsi="Times New Roman" w:eastAsia="方正仿宋_GBK" w:cs="Times New Roman"/>
          <w:sz w:val="32"/>
          <w:szCs w:val="32"/>
          <w:shd w:val="clear" w:color="auto" w:fill="FFFFFF"/>
          <w:lang w:eastAsia="zh-CN"/>
        </w:rPr>
        <w:t>财政拨款减少。</w:t>
      </w:r>
      <w:r>
        <w:rPr>
          <w:rFonts w:hint="default" w:ascii="Times New Roman" w:hAnsi="Times New Roman" w:eastAsia="方正仿宋_GBK" w:cs="Times New Roman"/>
          <w:sz w:val="32"/>
          <w:szCs w:val="32"/>
          <w:shd w:val="clear" w:color="auto" w:fill="FFFFFF"/>
        </w:rPr>
        <w:t>较年初预算数增加43.95万元，增长58.2%。主要原因是年初预算是根据单位情况预估核算，实际财政拨款收入由财政根据资金分配情况统一安排拨款此外，年初财政拨款结转和结余4.92万元。</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2.支出情况。2024年度一般公共预算财政拨款支出124.43万元，与2023年度相比，减少15.99万元，下降11.4%。主要原因是</w:t>
      </w:r>
      <w:r>
        <w:rPr>
          <w:rFonts w:hint="default" w:ascii="Times New Roman" w:hAnsi="Times New Roman" w:eastAsia="方正仿宋_GBK" w:cs="Times New Roman"/>
          <w:color w:val="000000" w:themeColor="text1"/>
          <w:sz w:val="32"/>
          <w:szCs w:val="32"/>
          <w:shd w:val="clear" w:color="auto" w:fill="FFFFFF"/>
          <w:lang w:eastAsia="zh-CN"/>
        </w:rPr>
        <w:t>财政拨款减少。</w:t>
      </w:r>
      <w:r>
        <w:rPr>
          <w:rFonts w:hint="default" w:ascii="Times New Roman" w:hAnsi="Times New Roman" w:eastAsia="方正仿宋_GBK" w:cs="Times New Roman"/>
          <w:sz w:val="32"/>
          <w:szCs w:val="32"/>
          <w:shd w:val="clear" w:color="auto" w:fill="FFFFFF"/>
        </w:rPr>
        <w:t>较年初预算数增加48.86万元，增长64.7%。主要原因是</w:t>
      </w:r>
      <w:r>
        <w:rPr>
          <w:rStyle w:val="11"/>
          <w:rFonts w:hint="default" w:ascii="Times New Roman" w:hAnsi="Times New Roman" w:eastAsia="方正仿宋_GBK" w:cs="Times New Roman"/>
          <w:b w:val="0"/>
          <w:bCs/>
          <w:sz w:val="32"/>
          <w:szCs w:val="32"/>
          <w:shd w:val="clear" w:color="auto" w:fill="FFFFFF"/>
        </w:rPr>
        <w:t>年初预算是根据单位情况预估核算，实际财政拨款收入由财政根据资金分配情况统一安排拨款</w:t>
      </w:r>
      <w:r>
        <w:rPr>
          <w:rStyle w:val="11"/>
          <w:rFonts w:hint="default" w:ascii="Times New Roman" w:hAnsi="Times New Roman" w:eastAsia="方正仿宋_GBK" w:cs="Times New Roman"/>
          <w:b w:val="0"/>
          <w:bCs/>
          <w:sz w:val="32"/>
          <w:szCs w:val="32"/>
          <w:shd w:val="clear" w:color="auto" w:fill="FFFFFF"/>
          <w:lang w:eastAsia="zh-CN"/>
        </w:rPr>
        <w:t>，</w:t>
      </w:r>
      <w:r>
        <w:rPr>
          <w:rStyle w:val="11"/>
          <w:rFonts w:hint="default" w:ascii="Times New Roman" w:hAnsi="Times New Roman" w:eastAsia="方正仿宋_GBK" w:cs="Times New Roman"/>
          <w:b w:val="0"/>
          <w:bCs/>
          <w:sz w:val="32"/>
          <w:szCs w:val="32"/>
          <w:shd w:val="clear" w:color="auto" w:fill="FFFFFF"/>
        </w:rPr>
        <w:t>因此财政拨款支出与年初预算有相应差异。</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一般公共预算财政拨款支出主要用途如下：</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）社会保障和就业支出15.81万元，占12.7%，较年初预算数增加4.51万元，增长39.9%，主要原因是</w:t>
      </w:r>
      <w:r>
        <w:rPr>
          <w:rFonts w:hint="default" w:ascii="Times New Roman" w:hAnsi="Times New Roman" w:eastAsia="方正仿宋_GBK" w:cs="Times New Roman"/>
          <w:b w:val="0"/>
          <w:bCs w:val="0"/>
          <w:color w:val="333333"/>
          <w:kern w:val="0"/>
          <w:sz w:val="32"/>
          <w:szCs w:val="32"/>
          <w:shd w:val="clear" w:fill="FFFFFF"/>
        </w:rPr>
        <w:t>根据单位情况预估核算，实际财政拨款收入由财政根据资金分配情况统一安排拨款。</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）卫生健康支出104.52万元，占84.0%，较年初预算数增加44.36万元，增长73.7%，主要原因是</w:t>
      </w:r>
      <w:r>
        <w:rPr>
          <w:rFonts w:hint="default" w:ascii="Times New Roman" w:hAnsi="Times New Roman" w:eastAsia="方正仿宋_GBK" w:cs="Times New Roman"/>
          <w:b w:val="0"/>
          <w:bCs w:val="0"/>
          <w:color w:val="333333"/>
          <w:kern w:val="0"/>
          <w:sz w:val="32"/>
          <w:szCs w:val="32"/>
          <w:shd w:val="clear" w:fill="FFFFFF"/>
        </w:rPr>
        <w:t>根据单位情况预估核算，实际财政拨款收入由财政根据资金分配情况统一安排拨款。</w:t>
      </w:r>
    </w:p>
    <w:p>
      <w:pPr>
        <w:keepNext w:val="0"/>
        <w:keepLines w:val="0"/>
        <w:pageBreakBefore w:val="0"/>
        <w:kinsoku/>
        <w:wordWrap/>
        <w:overflowPunct/>
        <w:topLinePunct w:val="0"/>
        <w:autoSpaceDN/>
        <w:bidi w:val="0"/>
        <w:spacing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4.10万元，占3.3%，较年初预算数无增减</w:t>
      </w:r>
      <w:r>
        <w:rPr>
          <w:rFonts w:hint="default" w:ascii="Times New Roman" w:hAnsi="Times New Roman" w:eastAsia="方正仿宋_GBK" w:cs="Times New Roman"/>
          <w:sz w:val="32"/>
          <w:szCs w:val="32"/>
          <w:shd w:val="clear" w:color="auto" w:fill="FFFFFF"/>
          <w:lang w:eastAsia="zh-CN"/>
        </w:rPr>
        <w:t>。</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val="en-US" w:eastAsia="zh-CN"/>
        </w:rPr>
      </w:pPr>
      <w:r>
        <w:rPr>
          <w:rStyle w:val="11"/>
          <w:rFonts w:hint="default" w:ascii="Times New Roman" w:hAnsi="Times New Roman" w:eastAsia="方正楷体_GBK" w:cs="Times New Roman"/>
          <w:b w:val="0"/>
          <w:bCs/>
          <w:sz w:val="32"/>
          <w:szCs w:val="32"/>
          <w:highlight w:val="none"/>
          <w:shd w:val="clear" w:color="auto" w:fill="FFFFFF"/>
        </w:rPr>
        <w:t>3.结转结余情况。</w:t>
      </w:r>
      <w:r>
        <w:rPr>
          <w:rFonts w:hint="default" w:ascii="Times New Roman" w:hAnsi="Times New Roman" w:eastAsia="方正仿宋_GBK" w:cs="Times New Roman"/>
          <w:sz w:val="32"/>
          <w:szCs w:val="32"/>
          <w:highlight w:val="none"/>
          <w:shd w:val="clear" w:color="auto" w:fill="FFFFFF"/>
        </w:rPr>
        <w:t>20</w:t>
      </w:r>
      <w:r>
        <w:rPr>
          <w:rFonts w:hint="default" w:ascii="Times New Roman" w:hAnsi="Times New Roman" w:eastAsia="方正仿宋_GBK" w:cs="Times New Roman"/>
          <w:sz w:val="32"/>
          <w:szCs w:val="32"/>
          <w:shd w:val="clear" w:color="auto" w:fill="FFFFFF"/>
        </w:rPr>
        <w:t>24年度年末一般公共预算财政拨款结转和结余0.00万元，与2023年度相比，减少4.92万元，下降100.0%，主要原因是</w:t>
      </w:r>
      <w:r>
        <w:rPr>
          <w:rFonts w:hint="default" w:ascii="Times New Roman" w:hAnsi="Times New Roman" w:eastAsia="方正仿宋_GBK" w:cs="Times New Roman"/>
          <w:color w:val="000000" w:themeColor="text1"/>
          <w:sz w:val="32"/>
          <w:szCs w:val="32"/>
          <w:shd w:val="clear" w:color="auto" w:fill="FFFFFF"/>
          <w:lang w:val="en-US" w:eastAsia="zh-CN"/>
        </w:rPr>
        <w:t>2024年度财政拨款已发放。</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2024年度一般公共财政拨款基本支出119.13万元。</w:t>
      </w:r>
    </w:p>
    <w:p>
      <w:pPr>
        <w:pStyle w:val="9"/>
        <w:keepNext w:val="0"/>
        <w:keepLines w:val="0"/>
        <w:pageBreakBefore w:val="0"/>
        <w:kinsoku/>
        <w:wordWrap/>
        <w:overflowPunct/>
        <w:topLinePunct w:val="0"/>
        <w:autoSpaceDN/>
        <w:bidi w:val="0"/>
        <w:snapToGrid w:val="0"/>
        <w:spacing w:before="0" w:beforeAutospacing="0" w:after="0" w:afterAutospacing="0" w:line="560" w:lineRule="exact"/>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其中：</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人员经费119.13万元，与2023年度相比，增加5.26万元，增长4.6%，主要原因是公共卫生人员经费支出增加。人员经费用途主要包括人员社会保障、工资、绩效、津补贴支出等。</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公用经费0.00万元，与2023年度相比，减少10.63万元，下降100.0%，主要原因是加强了内控管理、减少办公用品及水电支出</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公用经费用途主要包括办公支出、水电支出等。</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lang w:val="en-US" w:eastAsia="zh-CN"/>
        </w:rPr>
        <w:t>2024年度无政府性基金预算财政拨款收支。</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年度无国有资本经营预算财政拨款支出。</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三、财政拨款“三公”经费情况说明</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本单位属于差额拨款事业单位，未使用财政资金保障“三公”经费。</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lang w:eastAsia="zh-CN"/>
        </w:rPr>
        <w:t>年度本单位无因公出国（境）费用，较年初预算数无增减，较上年支出数无增减。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0"/>
          <w:szCs w:val="30"/>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lang w:val="en-US" w:eastAsia="zh-CN" w:bidi="ar-SA"/>
        </w:rPr>
        <w:t>年度本单位无公务接待费，较年初预算数无增减，较上年支出数无增减。</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2024年度本单位因公出国（境）共计0个团组，0人；公务用车购置0辆，公务车保有量为0辆；国内公务接待0批次0人，其中：国内外事接待0批次，0人；国（境）外公务接待0批次，0人。2024年本单位人均接待费0元，车均购置费0万元，车均维护费0万元。</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（一）财政拨款会议费、培训费和差旅费情况说明</w:t>
      </w:r>
    </w:p>
    <w:p>
      <w:pPr>
        <w:pStyle w:val="9"/>
        <w:keepNext w:val="0"/>
        <w:keepLines w:val="0"/>
        <w:pageBreakBefore w:val="0"/>
        <w:widowControl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bCs w:val="0"/>
          <w:sz w:val="32"/>
          <w:szCs w:val="32"/>
        </w:rPr>
      </w:pPr>
      <w:r>
        <w:rPr>
          <w:rFonts w:hint="default" w:ascii="Times New Roman" w:hAnsi="Times New Roman" w:eastAsia="方正仿宋_GBK" w:cs="Times New Roman"/>
          <w:sz w:val="32"/>
          <w:szCs w:val="32"/>
          <w:shd w:val="clear" w:color="auto" w:fill="FFFFFF"/>
        </w:rPr>
        <w:t>因本单位属于差额拨款事业单位，</w:t>
      </w:r>
      <w:r>
        <w:rPr>
          <w:rFonts w:hint="default" w:ascii="Times New Roman" w:hAnsi="Times New Roman" w:eastAsia="方正仿宋_GBK" w:cs="Times New Roman"/>
          <w:sz w:val="32"/>
          <w:szCs w:val="32"/>
          <w:shd w:val="clear" w:color="auto" w:fill="FFFFFF"/>
          <w:lang w:eastAsia="zh-CN"/>
        </w:rPr>
        <w:t>未使用财政资金保障</w:t>
      </w:r>
      <w:r>
        <w:rPr>
          <w:rFonts w:hint="default" w:ascii="Times New Roman" w:hAnsi="Times New Roman" w:eastAsia="方正仿宋_GBK" w:cs="Times New Roman"/>
          <w:sz w:val="32"/>
          <w:szCs w:val="32"/>
          <w:shd w:val="clear" w:color="auto" w:fill="FFFFFF"/>
        </w:rPr>
        <w:t>会议费和培训费</w:t>
      </w:r>
      <w:r>
        <w:rPr>
          <w:rFonts w:hint="default" w:ascii="Times New Roman" w:hAnsi="Times New Roman" w:eastAsia="方正仿宋_GBK" w:cs="Times New Roman"/>
          <w:sz w:val="32"/>
          <w:szCs w:val="32"/>
          <w:shd w:val="clear" w:color="auto" w:fill="FFFFFF"/>
          <w:lang w:eastAsia="zh-CN"/>
        </w:rPr>
        <w:t>和差旅费</w:t>
      </w:r>
      <w:r>
        <w:rPr>
          <w:rFonts w:hint="default" w:ascii="Times New Roman" w:hAnsi="Times New Roman" w:eastAsia="方正仿宋_GBK" w:cs="Times New Roman"/>
          <w:sz w:val="32"/>
          <w:szCs w:val="32"/>
          <w:shd w:val="clear" w:color="auto" w:fill="FFFFFF"/>
        </w:rPr>
        <w:t>。</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（二）机关运行经费情况说明</w:t>
      </w:r>
    </w:p>
    <w:p>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按照部门决算列报口径，</w:t>
      </w:r>
      <w:r>
        <w:rPr>
          <w:rFonts w:hint="default"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不在机关运行经费统计范围之内。</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（三）国有资产占用情况说明</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2024年12月31日，本单位共有车辆2辆，其中，副部（省）级及以上领导用车0辆、主要负责人用车0辆、机要通信用车0辆、应急保障用车0辆、执法执勤用车0辆，特种专业技术用车2辆，离退休干部用车0辆。单价100万元（含）以上专用设备0台（套）。</w:t>
      </w:r>
    </w:p>
    <w:p>
      <w:pPr>
        <w:pStyle w:val="14"/>
        <w:keepNext w:val="0"/>
        <w:keepLines w:val="0"/>
        <w:pageBreakBefore w:val="0"/>
        <w:kinsoku/>
        <w:wordWrap/>
        <w:overflowPunct/>
        <w:topLinePunct w:val="0"/>
        <w:autoSpaceDE w:val="0"/>
        <w:autoSpaceDN/>
        <w:bidi w:val="0"/>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2024年度本单位政府采购支出总额0.92万元，其中：政府采购货物支出0.92万元、政府采购工程支出0.00万元、政府采购服务支出0.00万元。授予中小企业合同金额0.92</w:t>
      </w:r>
      <w:r>
        <w:rPr>
          <w:rFonts w:hint="default" w:ascii="Times New Roman" w:hAnsi="Times New Roman" w:eastAsia="方正仿宋_GBK" w:cs="Times New Roman"/>
          <w:sz w:val="32"/>
          <w:szCs w:val="32"/>
        </w:rPr>
        <w:t>万</w:t>
      </w:r>
      <w:r>
        <w:rPr>
          <w:rFonts w:hint="default" w:ascii="Times New Roman" w:hAnsi="Times New Roman" w:eastAsia="方正仿宋_GBK" w:cs="Times New Roman"/>
          <w:sz w:val="32"/>
          <w:szCs w:val="32"/>
          <w:shd w:val="clear" w:color="auto" w:fill="FFFFFF"/>
        </w:rPr>
        <w:t>元，占政府采购支出总额的100.0%，其中：授予小微企业合同金额0.92万元，占政府采购支出总额的100.0 %。主要用于采购</w:t>
      </w:r>
      <w:r>
        <w:rPr>
          <w:rFonts w:hint="default" w:ascii="Times New Roman" w:hAnsi="Times New Roman" w:eastAsia="方正仿宋_GBK" w:cs="Times New Roman"/>
          <w:sz w:val="32"/>
          <w:szCs w:val="32"/>
          <w:shd w:val="clear" w:color="auto" w:fill="FFFFFF"/>
          <w:lang w:eastAsia="zh-CN"/>
        </w:rPr>
        <w:t>办公用品。</w:t>
      </w:r>
    </w:p>
    <w:p>
      <w:pPr>
        <w:pStyle w:val="9"/>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sectPr>
          <w:footerReference r:id="rId3" w:type="default"/>
          <w:pgSz w:w="11915" w:h="16840"/>
          <w:pgMar w:top="1440" w:right="1800" w:bottom="1440" w:left="1800" w:header="851" w:footer="992" w:gutter="0"/>
          <w:pgNumType w:fmt="numberInDash"/>
          <w:cols w:space="720" w:num="1"/>
          <w:docGrid w:type="lines" w:linePitch="312" w:charSpace="0"/>
        </w:sectPr>
      </w:pP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五、预算绩效管理情况说明</w:t>
      </w:r>
    </w:p>
    <w:p>
      <w:pPr>
        <w:pStyle w:val="14"/>
        <w:keepNext w:val="0"/>
        <w:keepLines w:val="0"/>
        <w:pageBreakBefore w:val="0"/>
        <w:kinsoku/>
        <w:wordWrap/>
        <w:overflowPunct/>
        <w:topLinePunct w:val="0"/>
        <w:autoSpaceDE w:val="0"/>
        <w:autoSpaceDN/>
        <w:bidi w:val="0"/>
        <w:spacing w:line="560" w:lineRule="exact"/>
        <w:ind w:firstLine="643"/>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本单位为秀山土家族苗族自治县卫生健康委员会二级预算单位，由主管部门统一开展项目支出绩效自评。</w:t>
      </w:r>
    </w:p>
    <w:p>
      <w:pPr>
        <w:pStyle w:val="15"/>
        <w:spacing w:before="0" w:beforeAutospacing="0"/>
        <w:rPr>
          <w:rFonts w:hint="default" w:ascii="Times New Roman" w:hAnsi="Times New Roman" w:eastAsia="方正仿宋_GBK" w:cs="Times New Roman"/>
          <w:sz w:val="32"/>
          <w:szCs w:val="32"/>
          <w:shd w:val="clear" w:color="auto" w:fill="FFFFFF"/>
        </w:rPr>
      </w:pPr>
    </w:p>
    <w:tbl>
      <w:tblPr>
        <w:tblStyle w:val="12"/>
        <w:tblpPr w:leftFromText="180" w:rightFromText="180" w:vertAnchor="text" w:horzAnchor="page" w:tblpX="1956" w:tblpY="39"/>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default" w:ascii="Times New Roman" w:hAnsi="Times New Roman" w:eastAsia="宋体" w:cs="Times New Roman"/>
                <w:b/>
                <w:bCs w:val="0"/>
                <w:i w:val="0"/>
                <w:color w:val="auto"/>
                <w:kern w:val="0"/>
                <w:sz w:val="32"/>
                <w:szCs w:val="32"/>
                <w:highlight w:val="none"/>
                <w:u w:val="none"/>
                <w:lang w:val="en-US" w:eastAsia="zh-CN" w:bidi="ar"/>
              </w:rPr>
              <w:t>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适龄儿童国家免疫规划疫苗接种</w:t>
            </w:r>
            <w:r>
              <w:rPr>
                <w:rFonts w:hint="default" w:ascii="Times New Roman" w:hAnsi="Times New Roman" w:eastAsia="方正仿宋_GBK" w:cs="Times New Roman"/>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kinsoku/>
        <w:wordWrap/>
        <w:overflowPunct/>
        <w:topLinePunct w:val="0"/>
        <w:autoSpaceDE w:val="0"/>
        <w:autoSpaceDN/>
        <w:bidi w:val="0"/>
        <w:spacing w:line="560" w:lineRule="exact"/>
        <w:ind w:left="0" w:leftChars="0"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kern w:val="0"/>
          <w:sz w:val="32"/>
          <w:szCs w:val="32"/>
          <w:lang w:val="en-US" w:eastAsia="zh-CN" w:bidi="ar-SA"/>
        </w:rPr>
        <w:t>本单位未组织开展绩效评价。</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六、专业名词解释</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方正仿宋_GBK" w:cs="Times New Roman"/>
          <w:sz w:val="32"/>
          <w:szCs w:val="32"/>
          <w:shd w:val="clear" w:color="auto" w:fill="FFFFFF"/>
        </w:rPr>
        <w:t>指本年度从本级财政部门取得的财政拨款。</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方正仿宋_GBK" w:cs="Times New Roman"/>
          <w:sz w:val="32"/>
          <w:szCs w:val="32"/>
          <w:shd w:val="clear" w:color="auto" w:fill="FFFFFF"/>
        </w:rPr>
        <w:t>指事业单位开展专业业务活动及其辅助活动取得的收入。</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指事业单位在专业业务活动及其辅助活动之外开展非独立核算经营活动取得的收入。</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（五）使用非财政拨款结余（含专用结余）：</w:t>
      </w:r>
      <w:r>
        <w:rPr>
          <w:rFonts w:hint="default" w:ascii="Times New Roman" w:hAnsi="Times New Roman" w:eastAsia="方正仿宋_GBK" w:cs="Times New Roman"/>
          <w:sz w:val="32"/>
          <w:szCs w:val="32"/>
          <w:shd w:val="clear" w:color="auto" w:fill="FFFFFF"/>
        </w:rPr>
        <w:t>指事业单位按照预算管理要求使用非财政拨款结余弥补收支差额的金额，以及使用专用结余安排支出的金额。</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方正仿宋_GBK" w:cs="Times New Roman"/>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方正仿宋_GBK" w:cs="Times New Roman"/>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七、决算公开联系方式及信息反馈渠道</w:t>
      </w:r>
    </w:p>
    <w:p>
      <w:pPr>
        <w:pStyle w:val="14"/>
        <w:keepNext w:val="0"/>
        <w:keepLines w:val="0"/>
        <w:pageBreakBefore w:val="0"/>
        <w:widowControl/>
        <w:kinsoku/>
        <w:wordWrap/>
        <w:overflowPunct/>
        <w:topLinePunct w:val="0"/>
        <w:autoSpaceDE w:val="0"/>
        <w:autoSpaceDN/>
        <w:bidi w:val="0"/>
        <w:adjustRightInd/>
        <w:spacing w:line="560" w:lineRule="exact"/>
        <w:ind w:firstLine="64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14"/>
        <w:keepNext w:val="0"/>
        <w:keepLines w:val="0"/>
        <w:pageBreakBefore w:val="0"/>
        <w:widowControl/>
        <w:kinsoku/>
        <w:wordWrap/>
        <w:overflowPunct/>
        <w:topLinePunct w:val="0"/>
        <w:autoSpaceDE w:val="0"/>
        <w:autoSpaceDN/>
        <w:bidi w:val="0"/>
        <w:adjustRightInd/>
        <w:spacing w:line="560" w:lineRule="exact"/>
        <w:ind w:firstLine="640"/>
        <w:jc w:val="both"/>
        <w:textAlignment w:val="auto"/>
        <w:rPr>
          <w:rStyle w:val="11"/>
          <w:rFonts w:hint="default" w:ascii="Times New Roman" w:hAnsi="Times New Roman" w:eastAsia="方正仿宋_GBK" w:cs="Times New Roman"/>
          <w:sz w:val="32"/>
          <w:szCs w:val="32"/>
          <w:shd w:val="clear" w:color="auto" w:fill="FFFF00"/>
        </w:rPr>
        <w:sectPr>
          <w:footerReference r:id="rId4"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b w:val="0"/>
          <w:bCs w:val="0"/>
          <w:sz w:val="32"/>
          <w:szCs w:val="32"/>
          <w:shd w:val="clear" w:color="auto" w:fill="FFFFFF"/>
          <w:lang w:eastAsia="zh-CN"/>
        </w:rPr>
        <w:t>田佳</w:t>
      </w:r>
      <w:r>
        <w:rPr>
          <w:rFonts w:hint="default" w:ascii="Times New Roman" w:hAnsi="Times New Roman" w:eastAsia="方正仿宋_GBK" w:cs="Times New Roman"/>
          <w:b w:val="0"/>
          <w:bCs w:val="0"/>
          <w:sz w:val="32"/>
          <w:szCs w:val="32"/>
          <w:shd w:val="clear" w:color="auto" w:fill="FFFFFF"/>
          <w:lang w:val="en-US" w:eastAsia="zh-CN"/>
        </w:rPr>
        <w:t xml:space="preserve"> 023-76620191</w:t>
      </w: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rPr>
              <w:t>秀山土家族苗族自治县海洋乡卫生院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119.52</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81.28</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0.27</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15.81</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186.07</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4.10</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201.07</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205.99</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4.92</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205.99</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205.99</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rPr>
              <w:t>秀山土家族苗族自治县海洋乡卫生院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201.07</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119.52</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81.28</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0.27</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15.81</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15.81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15.81</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15.81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8.43</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8.43</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181.16</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99.61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81.28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0.27</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148.18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66.63</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81.28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0.27</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145.78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64.23</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81.28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0.27</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27.91</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27.91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3.42</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3.42</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秀山土家族苗族自治县海洋乡卫生院</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205.99</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200.69</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5.30</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15.81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15.81</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15.81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15.81</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8.43</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186.07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180.77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153.10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148.30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150.70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148.30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27.91</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27.91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27.91</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3.42</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秀山土家族苗族自治县海洋乡卫生院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119.52</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15.81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15.81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104.52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104.52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4.10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4.10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119.52</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124.43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124.43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4.92</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4.92</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124.43</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124.43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124.43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秀山土家族苗族自治县海洋乡卫生院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124.43</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119.13</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5.30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15.81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15.81</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15.81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15.81</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8.43</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8.43</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4.28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4.28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104.52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99.22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5.30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71.55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66.75</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69.15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66.75</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28.41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27.91</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27.91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27.91</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4.57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4.57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3.42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3.42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1.15</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4.10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4.10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4.10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4.10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4.10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4.10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秀山土家族苗族自治县海洋乡卫生院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116.04</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37.38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14.12</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38.13</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13.35</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4.28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3.42</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4.10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1.15</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2.76</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0.34</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119.13</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秀山土家族苗族自治县海洋乡卫生院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秀山土家族苗族自治县海洋乡卫生院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单位</w:t>
            </w:r>
            <w:r>
              <w:rPr>
                <w:rFonts w:cs="宋体"/>
                <w:color w:val="000000"/>
                <w:kern w:val="2"/>
                <w:sz w:val="20"/>
                <w:szCs w:val="20"/>
              </w:rPr>
              <w:t>：</w:t>
            </w:r>
            <w:r>
              <w:rPr>
                <w:color w:val="000000"/>
                <w:sz w:val="20"/>
              </w:rPr>
              <w:t>秀山土家族苗族自治县海洋乡卫生院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0.92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0.92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0.92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0.92</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5" w:type="default"/>
      <w:footerReference r:id="rId6"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- 10 -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- 2 -</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w:pict>
        <v:shape id="_x0000_s1028" o:spid="_x0000_s1028" o:spt="202" type="#_x0000_t202" style="position:absolute;left:0pt;margin-top:0pt;height:144pt;width:144pt;mso-position-horizontal:center;mso-position-horizontal-relative:margin;mso-wrap-style:none;z-index:251662336;mso-width-relative:page;mso-height-relative:page;" filled="f" stroked="f" coordsize="21600,21600" o:allowoverlap="f">
          <v:path/>
          <v:fill on="f" focussize="0,0"/>
          <v:stroke on="f" weight="0.5pt" joinstyle="miter"/>
          <v:imagedata o:title=""/>
          <o:lock v:ext="edit"/>
          <v:textbox inset="0mm,0mm,0mm,0mm" style="mso-fit-shape-to-text:t;">
            <w:txbxContent>
              <w:p>
                <w:pPr>
                  <w:pStyle w:val="6"/>
                  <w:rPr>
                    <w:rFonts w:hint="default"/>
                  </w:rPr>
                </w:pPr>
                <w:r>
                  <w:fldChar w:fldCharType="begin"/>
                </w:r>
                <w:r>
                  <w:instrText xml:space="preserve">PAGE   \* MERGEFORMAT</w:instrText>
                </w:r>
                <w:r>
                  <w:fldChar w:fldCharType="separate"/>
                </w:r>
                <w:r>
                  <w:rPr>
                    <w:rFonts w:hint="default"/>
                    <w:lang w:val="zh-CN"/>
                  </w:rPr>
                  <w:t>-</w:t>
                </w:r>
                <w:r>
                  <w:rPr>
                    <w:rFonts w:hint="default"/>
                  </w:rPr>
                  <w:t xml:space="preserve"> 19 -</w:t>
                </w:r>
                <w:r>
                  <w:fldChar w:fldCharType="end"/>
                </w:r>
              </w:p>
            </w:txbxContent>
          </v:textbox>
        </v:shape>
      </w:pict>
    </w:r>
    <w:r>
      <w:rPr>
        <w:rFonts w:hint="default"/>
      </w:rPr>
      <w:pict>
        <v:shape id="_x0000_s1027" o:spid="_x0000_s1027" o:spt="202" type="#_x0000_t202" style="position:absolute;left:0pt;margin-top:1160.4pt;height:17.4pt;width:144pt;mso-position-horizontal:center;mso-position-horizontal-relative:margin;mso-position-vertical-relative:page;mso-wrap-style:none;z-index:251661312;mso-width-relative:page;mso-height-relative:page;" filled="f" stroked="f" coordsize="21600,21600" o:allowoverlap="f">
          <v:path/>
          <v:fill on="f" focussize="0,0"/>
          <v:stroke on="f" weight="0.5pt" joinstyle="miter"/>
          <v:imagedata o:title=""/>
          <o:lock v:ext="edit"/>
          <v:textbox inset="0mm,0mm,0mm,0mm">
            <w:txbxContent>
              <w:p>
                <w:pPr>
                  <w:pStyle w:val="6"/>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wYWQ1YTE0ZDA0NjgxYzlhMjZlMDExNTFmMWI3MmEifQ=="/>
  </w:docVars>
  <w:rsids>
    <w:rsidRoot w:val="00B03CCD"/>
    <w:rsid w:val="000239C6"/>
    <w:rsid w:val="001D3BB7"/>
    <w:rsid w:val="002B254B"/>
    <w:rsid w:val="0034050A"/>
    <w:rsid w:val="00423B9D"/>
    <w:rsid w:val="00423E44"/>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A0F9E"/>
    <w:rsid w:val="00BE2B89"/>
    <w:rsid w:val="00BF0D89"/>
    <w:rsid w:val="00C10E9E"/>
    <w:rsid w:val="00C20C3E"/>
    <w:rsid w:val="00C5163E"/>
    <w:rsid w:val="00CF2ACF"/>
    <w:rsid w:val="00D03AAF"/>
    <w:rsid w:val="00DD0539"/>
    <w:rsid w:val="00E07662"/>
    <w:rsid w:val="00E368E9"/>
    <w:rsid w:val="00EA13A2"/>
    <w:rsid w:val="00EE1E33"/>
    <w:rsid w:val="00F5646D"/>
    <w:rsid w:val="00F73F90"/>
    <w:rsid w:val="00FB4B3B"/>
    <w:rsid w:val="0126032D"/>
    <w:rsid w:val="0143528B"/>
    <w:rsid w:val="01474EBF"/>
    <w:rsid w:val="01F3521E"/>
    <w:rsid w:val="0268141A"/>
    <w:rsid w:val="030D0851"/>
    <w:rsid w:val="036E2DA9"/>
    <w:rsid w:val="03B87EA0"/>
    <w:rsid w:val="03DB737D"/>
    <w:rsid w:val="03DD4B7C"/>
    <w:rsid w:val="03E3214F"/>
    <w:rsid w:val="044C50BA"/>
    <w:rsid w:val="04D57730"/>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9F436B2"/>
    <w:rsid w:val="0A0A0AEC"/>
    <w:rsid w:val="0A3317EA"/>
    <w:rsid w:val="0A5C4B69"/>
    <w:rsid w:val="0A86124A"/>
    <w:rsid w:val="0AB54CC0"/>
    <w:rsid w:val="0B0D5B95"/>
    <w:rsid w:val="0B9335CE"/>
    <w:rsid w:val="0BF2311A"/>
    <w:rsid w:val="0C7927C4"/>
    <w:rsid w:val="0C9B098C"/>
    <w:rsid w:val="0D673E11"/>
    <w:rsid w:val="0DDA54E4"/>
    <w:rsid w:val="0E3A5F83"/>
    <w:rsid w:val="0F836721"/>
    <w:rsid w:val="0FA25D96"/>
    <w:rsid w:val="0FBD3C60"/>
    <w:rsid w:val="104179AA"/>
    <w:rsid w:val="107B59E5"/>
    <w:rsid w:val="10EC0126"/>
    <w:rsid w:val="10F70B9A"/>
    <w:rsid w:val="111445C7"/>
    <w:rsid w:val="114278C6"/>
    <w:rsid w:val="1158083A"/>
    <w:rsid w:val="11643A4B"/>
    <w:rsid w:val="116C66BC"/>
    <w:rsid w:val="11D2682C"/>
    <w:rsid w:val="11ED0F98"/>
    <w:rsid w:val="11F03528"/>
    <w:rsid w:val="122304CE"/>
    <w:rsid w:val="12C921C4"/>
    <w:rsid w:val="13871C70"/>
    <w:rsid w:val="13A71CB4"/>
    <w:rsid w:val="13AF1D43"/>
    <w:rsid w:val="13CE1647"/>
    <w:rsid w:val="13FD55AB"/>
    <w:rsid w:val="14200702"/>
    <w:rsid w:val="14370EA1"/>
    <w:rsid w:val="145D6F41"/>
    <w:rsid w:val="14D55CBD"/>
    <w:rsid w:val="15327485"/>
    <w:rsid w:val="163A6CEE"/>
    <w:rsid w:val="173708E3"/>
    <w:rsid w:val="17C374FC"/>
    <w:rsid w:val="1804224F"/>
    <w:rsid w:val="1825484B"/>
    <w:rsid w:val="182E4AB6"/>
    <w:rsid w:val="189079DC"/>
    <w:rsid w:val="189B0D0B"/>
    <w:rsid w:val="18B43F7C"/>
    <w:rsid w:val="18DD0D31"/>
    <w:rsid w:val="191C433B"/>
    <w:rsid w:val="194A1770"/>
    <w:rsid w:val="19B906A4"/>
    <w:rsid w:val="1A3C4691"/>
    <w:rsid w:val="1A50230B"/>
    <w:rsid w:val="1AB44CEA"/>
    <w:rsid w:val="1B6F15B6"/>
    <w:rsid w:val="1BAA2EDC"/>
    <w:rsid w:val="1C2F6794"/>
    <w:rsid w:val="1C8A59E0"/>
    <w:rsid w:val="1CA55E64"/>
    <w:rsid w:val="1D014A01"/>
    <w:rsid w:val="1D022362"/>
    <w:rsid w:val="1D1A67CF"/>
    <w:rsid w:val="1D1B04B0"/>
    <w:rsid w:val="1D36748F"/>
    <w:rsid w:val="1D7E0ED0"/>
    <w:rsid w:val="1DA52501"/>
    <w:rsid w:val="1DBD6767"/>
    <w:rsid w:val="1DC52125"/>
    <w:rsid w:val="1DD26311"/>
    <w:rsid w:val="1E374ACB"/>
    <w:rsid w:val="1EB72F8E"/>
    <w:rsid w:val="1ECF0A66"/>
    <w:rsid w:val="1EEC7472"/>
    <w:rsid w:val="1EF67CA4"/>
    <w:rsid w:val="1F020D3A"/>
    <w:rsid w:val="1F2C5189"/>
    <w:rsid w:val="1F3B2000"/>
    <w:rsid w:val="1F4B0B02"/>
    <w:rsid w:val="1FBB35CD"/>
    <w:rsid w:val="1FCD26AF"/>
    <w:rsid w:val="20642787"/>
    <w:rsid w:val="21556F04"/>
    <w:rsid w:val="21913B10"/>
    <w:rsid w:val="22056C66"/>
    <w:rsid w:val="22403BD3"/>
    <w:rsid w:val="235417B6"/>
    <w:rsid w:val="24B92327"/>
    <w:rsid w:val="24C14514"/>
    <w:rsid w:val="250173EB"/>
    <w:rsid w:val="2533755C"/>
    <w:rsid w:val="25791755"/>
    <w:rsid w:val="25805FD3"/>
    <w:rsid w:val="26147ED1"/>
    <w:rsid w:val="26396DF4"/>
    <w:rsid w:val="27167136"/>
    <w:rsid w:val="271B442C"/>
    <w:rsid w:val="27B23302"/>
    <w:rsid w:val="27C35B79"/>
    <w:rsid w:val="284A2841"/>
    <w:rsid w:val="292C12D2"/>
    <w:rsid w:val="29310A5F"/>
    <w:rsid w:val="29B2093C"/>
    <w:rsid w:val="29C37A35"/>
    <w:rsid w:val="2A076083"/>
    <w:rsid w:val="2A73162E"/>
    <w:rsid w:val="2B167953"/>
    <w:rsid w:val="2B200583"/>
    <w:rsid w:val="2B8209DE"/>
    <w:rsid w:val="2B821C91"/>
    <w:rsid w:val="2BF81A22"/>
    <w:rsid w:val="2C636760"/>
    <w:rsid w:val="2C6762A3"/>
    <w:rsid w:val="2CC81A94"/>
    <w:rsid w:val="2DF41D09"/>
    <w:rsid w:val="2E8913DD"/>
    <w:rsid w:val="2FCA4B37"/>
    <w:rsid w:val="2FE029D7"/>
    <w:rsid w:val="2FF06E00"/>
    <w:rsid w:val="30586FEC"/>
    <w:rsid w:val="315E619D"/>
    <w:rsid w:val="315F0B22"/>
    <w:rsid w:val="31D84415"/>
    <w:rsid w:val="32285F6F"/>
    <w:rsid w:val="32770556"/>
    <w:rsid w:val="329C0913"/>
    <w:rsid w:val="32AA0460"/>
    <w:rsid w:val="3337290D"/>
    <w:rsid w:val="33E31118"/>
    <w:rsid w:val="33EF7674"/>
    <w:rsid w:val="342D7BC6"/>
    <w:rsid w:val="352930DB"/>
    <w:rsid w:val="35573069"/>
    <w:rsid w:val="355F6038"/>
    <w:rsid w:val="358C217E"/>
    <w:rsid w:val="36BE0D2B"/>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7A2051"/>
    <w:rsid w:val="3A933B2A"/>
    <w:rsid w:val="3AA12EE4"/>
    <w:rsid w:val="3ADD7F09"/>
    <w:rsid w:val="3B1705E5"/>
    <w:rsid w:val="3B18334B"/>
    <w:rsid w:val="3B36794F"/>
    <w:rsid w:val="3B6F6EE0"/>
    <w:rsid w:val="3BA607A2"/>
    <w:rsid w:val="3C566AD6"/>
    <w:rsid w:val="3C594871"/>
    <w:rsid w:val="3C6A5B02"/>
    <w:rsid w:val="3D2757A1"/>
    <w:rsid w:val="3D3D4FC4"/>
    <w:rsid w:val="3DDF3AB1"/>
    <w:rsid w:val="3E1D0952"/>
    <w:rsid w:val="3E42660A"/>
    <w:rsid w:val="3E7555B1"/>
    <w:rsid w:val="3E787ED9"/>
    <w:rsid w:val="3ECC6C78"/>
    <w:rsid w:val="3F032E93"/>
    <w:rsid w:val="3F0527E5"/>
    <w:rsid w:val="3F4C52C6"/>
    <w:rsid w:val="3F694D83"/>
    <w:rsid w:val="3F8248B0"/>
    <w:rsid w:val="3F885DCC"/>
    <w:rsid w:val="3FCD675E"/>
    <w:rsid w:val="3FFA53EF"/>
    <w:rsid w:val="4004000C"/>
    <w:rsid w:val="406D6317"/>
    <w:rsid w:val="40BD5482"/>
    <w:rsid w:val="411B6CE5"/>
    <w:rsid w:val="412070D7"/>
    <w:rsid w:val="41314E40"/>
    <w:rsid w:val="4137455F"/>
    <w:rsid w:val="41E0734B"/>
    <w:rsid w:val="426C1EA8"/>
    <w:rsid w:val="42736402"/>
    <w:rsid w:val="42793C90"/>
    <w:rsid w:val="42E86A87"/>
    <w:rsid w:val="43307B09"/>
    <w:rsid w:val="436D44AF"/>
    <w:rsid w:val="439A3EB9"/>
    <w:rsid w:val="43A2191B"/>
    <w:rsid w:val="43BB152F"/>
    <w:rsid w:val="44871283"/>
    <w:rsid w:val="449931FF"/>
    <w:rsid w:val="44C37687"/>
    <w:rsid w:val="45CB699A"/>
    <w:rsid w:val="46423C66"/>
    <w:rsid w:val="465B470D"/>
    <w:rsid w:val="469D6AD4"/>
    <w:rsid w:val="46CF5B03"/>
    <w:rsid w:val="46D43524"/>
    <w:rsid w:val="471E6C84"/>
    <w:rsid w:val="4748792B"/>
    <w:rsid w:val="475D719D"/>
    <w:rsid w:val="47674801"/>
    <w:rsid w:val="481400C6"/>
    <w:rsid w:val="48225EF7"/>
    <w:rsid w:val="488F422B"/>
    <w:rsid w:val="48E36915"/>
    <w:rsid w:val="48EB6572"/>
    <w:rsid w:val="495C4A24"/>
    <w:rsid w:val="497135DF"/>
    <w:rsid w:val="49D27FAA"/>
    <w:rsid w:val="4A263DF2"/>
    <w:rsid w:val="4A2F278B"/>
    <w:rsid w:val="4A6F6675"/>
    <w:rsid w:val="4B135857"/>
    <w:rsid w:val="4B7951CB"/>
    <w:rsid w:val="4B7C315C"/>
    <w:rsid w:val="4BB22531"/>
    <w:rsid w:val="4BCE2B24"/>
    <w:rsid w:val="4C9316A8"/>
    <w:rsid w:val="4D1F53CA"/>
    <w:rsid w:val="4DAC4ACA"/>
    <w:rsid w:val="4DBE01D2"/>
    <w:rsid w:val="4EDD1BBC"/>
    <w:rsid w:val="4F036DF6"/>
    <w:rsid w:val="4F0C6BA3"/>
    <w:rsid w:val="4F115E24"/>
    <w:rsid w:val="4F186D58"/>
    <w:rsid w:val="4FC46A2E"/>
    <w:rsid w:val="50ED1211"/>
    <w:rsid w:val="50F06B6E"/>
    <w:rsid w:val="51213B31"/>
    <w:rsid w:val="51835961"/>
    <w:rsid w:val="51D21804"/>
    <w:rsid w:val="52234D33"/>
    <w:rsid w:val="522F6E0C"/>
    <w:rsid w:val="52463BA1"/>
    <w:rsid w:val="52F163D4"/>
    <w:rsid w:val="531A2DB4"/>
    <w:rsid w:val="53C0244D"/>
    <w:rsid w:val="53DD4D4E"/>
    <w:rsid w:val="53E578CE"/>
    <w:rsid w:val="541330F0"/>
    <w:rsid w:val="54272666"/>
    <w:rsid w:val="543B029D"/>
    <w:rsid w:val="54861779"/>
    <w:rsid w:val="54F219ED"/>
    <w:rsid w:val="552256E1"/>
    <w:rsid w:val="554E5773"/>
    <w:rsid w:val="555829E0"/>
    <w:rsid w:val="555A3CBC"/>
    <w:rsid w:val="5582012B"/>
    <w:rsid w:val="558E4E05"/>
    <w:rsid w:val="55AC7F36"/>
    <w:rsid w:val="55AD3331"/>
    <w:rsid w:val="55BE2E85"/>
    <w:rsid w:val="56530F5D"/>
    <w:rsid w:val="567700D3"/>
    <w:rsid w:val="569E5A73"/>
    <w:rsid w:val="56FF7E9E"/>
    <w:rsid w:val="577D77C7"/>
    <w:rsid w:val="578867FC"/>
    <w:rsid w:val="580A0931"/>
    <w:rsid w:val="5842572D"/>
    <w:rsid w:val="595A0658"/>
    <w:rsid w:val="596D2AB9"/>
    <w:rsid w:val="598F7DDD"/>
    <w:rsid w:val="59B8369E"/>
    <w:rsid w:val="5A3B59D6"/>
    <w:rsid w:val="5A487AA0"/>
    <w:rsid w:val="5AD134D8"/>
    <w:rsid w:val="5B5155D1"/>
    <w:rsid w:val="5BF41F67"/>
    <w:rsid w:val="5C263CE4"/>
    <w:rsid w:val="5C5D2777"/>
    <w:rsid w:val="5CF66BF3"/>
    <w:rsid w:val="5D290C69"/>
    <w:rsid w:val="5D331AE8"/>
    <w:rsid w:val="5DA80C2C"/>
    <w:rsid w:val="5F2D4A41"/>
    <w:rsid w:val="5F9D5FAC"/>
    <w:rsid w:val="60042D8E"/>
    <w:rsid w:val="60915850"/>
    <w:rsid w:val="60C74F6C"/>
    <w:rsid w:val="61015958"/>
    <w:rsid w:val="61025A59"/>
    <w:rsid w:val="613D5BBC"/>
    <w:rsid w:val="61536C39"/>
    <w:rsid w:val="61894431"/>
    <w:rsid w:val="61B346BA"/>
    <w:rsid w:val="61C2137B"/>
    <w:rsid w:val="62395F23"/>
    <w:rsid w:val="62944DD7"/>
    <w:rsid w:val="6319381F"/>
    <w:rsid w:val="631C355E"/>
    <w:rsid w:val="63C25DC5"/>
    <w:rsid w:val="63C62057"/>
    <w:rsid w:val="64571EF5"/>
    <w:rsid w:val="64DF419B"/>
    <w:rsid w:val="64EC264E"/>
    <w:rsid w:val="64FB113D"/>
    <w:rsid w:val="656152C6"/>
    <w:rsid w:val="65836A3F"/>
    <w:rsid w:val="6587477F"/>
    <w:rsid w:val="658C3A08"/>
    <w:rsid w:val="65C031CA"/>
    <w:rsid w:val="65CE6852"/>
    <w:rsid w:val="662275A5"/>
    <w:rsid w:val="66267C04"/>
    <w:rsid w:val="663F505A"/>
    <w:rsid w:val="66AF5D7C"/>
    <w:rsid w:val="66B87F92"/>
    <w:rsid w:val="66EE5541"/>
    <w:rsid w:val="67127D45"/>
    <w:rsid w:val="67924660"/>
    <w:rsid w:val="67A34D81"/>
    <w:rsid w:val="68407834"/>
    <w:rsid w:val="6883293E"/>
    <w:rsid w:val="688412AD"/>
    <w:rsid w:val="68AB6C8C"/>
    <w:rsid w:val="68B049B7"/>
    <w:rsid w:val="68EB1B71"/>
    <w:rsid w:val="696C0310"/>
    <w:rsid w:val="6A6C7940"/>
    <w:rsid w:val="6A9F1565"/>
    <w:rsid w:val="6AAD2300"/>
    <w:rsid w:val="6B474EF5"/>
    <w:rsid w:val="6BE817F6"/>
    <w:rsid w:val="6BF4331F"/>
    <w:rsid w:val="6C0A5AC5"/>
    <w:rsid w:val="6C560CAE"/>
    <w:rsid w:val="6C576495"/>
    <w:rsid w:val="6D657A9C"/>
    <w:rsid w:val="6D903FF5"/>
    <w:rsid w:val="6DA955B8"/>
    <w:rsid w:val="6DE346AB"/>
    <w:rsid w:val="6DE45B04"/>
    <w:rsid w:val="6DE5391A"/>
    <w:rsid w:val="6EFD1324"/>
    <w:rsid w:val="6F356255"/>
    <w:rsid w:val="6F5A53AC"/>
    <w:rsid w:val="6FAC003D"/>
    <w:rsid w:val="6FD926BF"/>
    <w:rsid w:val="6FE55E12"/>
    <w:rsid w:val="6FFB2E76"/>
    <w:rsid w:val="70335266"/>
    <w:rsid w:val="705357CF"/>
    <w:rsid w:val="705D6CA3"/>
    <w:rsid w:val="708F6F7F"/>
    <w:rsid w:val="70D94BD3"/>
    <w:rsid w:val="71574775"/>
    <w:rsid w:val="716F7F61"/>
    <w:rsid w:val="71C34D91"/>
    <w:rsid w:val="72810999"/>
    <w:rsid w:val="72DB435C"/>
    <w:rsid w:val="72E2613A"/>
    <w:rsid w:val="72F771F4"/>
    <w:rsid w:val="73934AD2"/>
    <w:rsid w:val="74EA6127"/>
    <w:rsid w:val="750837F0"/>
    <w:rsid w:val="754758CF"/>
    <w:rsid w:val="75595ECD"/>
    <w:rsid w:val="75E730AD"/>
    <w:rsid w:val="76191DBA"/>
    <w:rsid w:val="764F62AB"/>
    <w:rsid w:val="765C45EC"/>
    <w:rsid w:val="768A7619"/>
    <w:rsid w:val="772E1EBA"/>
    <w:rsid w:val="77CA0480"/>
    <w:rsid w:val="77CB0E97"/>
    <w:rsid w:val="781926BC"/>
    <w:rsid w:val="78595909"/>
    <w:rsid w:val="793B7901"/>
    <w:rsid w:val="796D60A4"/>
    <w:rsid w:val="797A664A"/>
    <w:rsid w:val="79A031D5"/>
    <w:rsid w:val="79B47FDF"/>
    <w:rsid w:val="79DC6FF3"/>
    <w:rsid w:val="79E569A9"/>
    <w:rsid w:val="7A1525F7"/>
    <w:rsid w:val="7A754062"/>
    <w:rsid w:val="7B420052"/>
    <w:rsid w:val="7B4F08A7"/>
    <w:rsid w:val="7B826F75"/>
    <w:rsid w:val="7BD06A28"/>
    <w:rsid w:val="7BE850D0"/>
    <w:rsid w:val="7C3A7C0B"/>
    <w:rsid w:val="7C5248E4"/>
    <w:rsid w:val="7C566698"/>
    <w:rsid w:val="7C5866A3"/>
    <w:rsid w:val="7CD63CD1"/>
    <w:rsid w:val="7D07794F"/>
    <w:rsid w:val="7D7406BB"/>
    <w:rsid w:val="7DD46834"/>
    <w:rsid w:val="7DE94331"/>
    <w:rsid w:val="7DED2D3E"/>
    <w:rsid w:val="7F446A19"/>
    <w:rsid w:val="7F5500E0"/>
    <w:rsid w:val="7F6E2A74"/>
    <w:rsid w:val="7F7452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列出段落3"/>
    <w:qFormat/>
    <w:uiPriority w:val="99"/>
    <w:pPr>
      <w:ind w:firstLine="420" w:firstLineChars="200"/>
    </w:pPr>
    <w:rPr>
      <w:rFonts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9"/>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22</Pages>
  <Words>8262</Words>
  <Characters>10563</Characters>
  <Lines>77</Lines>
  <Paragraphs>21</Paragraphs>
  <TotalTime>1</TotalTime>
  <ScaleCrop>false</ScaleCrop>
  <LinksUpToDate>false</LinksUpToDate>
  <CharactersWithSpaces>10972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2025-09-26T00:55:00Z</dcterms:created>
  <dc:creator>Administrator</dc:creator>
  <cp:lastModifiedBy>龚盼</cp:lastModifiedBy>
  <dcterms:modified xsi:type="dcterms:W3CDTF">2025-10-14T08:58:07Z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eyJoZGlkIjoiODJjNTkyYTQzOTc4MzY0ZWVlZWY4NDUxNmFmZTYyZTUiLCJ1c2VySWQiOiIxMDUwMDQ5MjA2In0=</vt:lpwstr>
  </property>
</Properties>
</file>